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931C" w14:textId="77777777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center"/>
        <w:rPr>
          <w:rFonts w:cs="Times New Roman"/>
          <w:b/>
          <w:bCs/>
          <w:spacing w:val="-3"/>
        </w:rPr>
      </w:pPr>
      <w:r w:rsidRPr="00F126F8">
        <w:rPr>
          <w:rFonts w:cs="Times New Roman"/>
          <w:b/>
          <w:bCs/>
          <w:spacing w:val="-3"/>
          <w:lang w:eastAsia="zh-CN"/>
        </w:rPr>
        <w:t xml:space="preserve">PROCEDIMIENTOS ESPECIALES - </w:t>
      </w:r>
      <w:r w:rsidRPr="00F126F8">
        <w:rPr>
          <w:rFonts w:cs="Times New Roman"/>
          <w:b/>
          <w:bCs/>
          <w:spacing w:val="-3"/>
        </w:rPr>
        <w:t>FERIA INCLUSIVAS</w:t>
      </w:r>
    </w:p>
    <w:p w14:paraId="1DCD85AC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center"/>
        <w:rPr>
          <w:rFonts w:cs="Times New Roman"/>
          <w:b/>
          <w:bCs/>
          <w:spacing w:val="-3"/>
        </w:rPr>
      </w:pPr>
    </w:p>
    <w:p w14:paraId="708DCB8F" w14:textId="77777777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center"/>
        <w:rPr>
          <w:rFonts w:cs="Times New Roman"/>
          <w:b/>
          <w:bCs/>
          <w:spacing w:val="-3"/>
        </w:rPr>
      </w:pPr>
      <w:r w:rsidRPr="00F126F8">
        <w:rPr>
          <w:rFonts w:cs="Times New Roman"/>
          <w:b/>
          <w:bCs/>
          <w:spacing w:val="-3"/>
        </w:rPr>
        <w:t>CÓDIGO DEL PROCEDIMIENTO:</w:t>
      </w:r>
    </w:p>
    <w:p w14:paraId="0AC71002" w14:textId="6D434209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center"/>
        <w:rPr>
          <w:rFonts w:cs="Times New Roman"/>
          <w:spacing w:val="-3"/>
        </w:rPr>
      </w:pPr>
      <w:r w:rsidRPr="00F126F8">
        <w:rPr>
          <w:rFonts w:cs="Times New Roman"/>
          <w:spacing w:val="-3"/>
        </w:rPr>
        <w:t>FI-GADPDM-2025-00</w:t>
      </w:r>
      <w:r w:rsidR="009D4861" w:rsidRPr="00F126F8">
        <w:rPr>
          <w:rFonts w:cs="Times New Roman"/>
          <w:spacing w:val="-3"/>
        </w:rPr>
        <w:t>5</w:t>
      </w:r>
    </w:p>
    <w:p w14:paraId="11BDD54D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center"/>
        <w:rPr>
          <w:rFonts w:cs="Times New Roman"/>
          <w:b/>
          <w:bCs/>
          <w:spacing w:val="-3"/>
        </w:rPr>
      </w:pPr>
    </w:p>
    <w:p w14:paraId="3AACA3C5" w14:textId="77777777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center"/>
        <w:rPr>
          <w:rFonts w:cs="Times New Roman"/>
          <w:b/>
          <w:bCs/>
          <w:spacing w:val="-3"/>
        </w:rPr>
      </w:pPr>
      <w:r w:rsidRPr="00F126F8">
        <w:rPr>
          <w:rFonts w:cs="Times New Roman"/>
          <w:b/>
          <w:bCs/>
          <w:spacing w:val="-3"/>
        </w:rPr>
        <w:t>OBJETO DE CONTRATACIÓN:</w:t>
      </w:r>
    </w:p>
    <w:p w14:paraId="64AC3A67" w14:textId="497BA21F" w:rsidR="00111047" w:rsidRPr="00F126F8" w:rsidRDefault="00F126F8" w:rsidP="00F126F8">
      <w:pPr>
        <w:jc w:val="center"/>
        <w:rPr>
          <w:rFonts w:cs="Times New Roman"/>
          <w:spacing w:val="-3"/>
        </w:rPr>
      </w:pPr>
      <w:r w:rsidRPr="00F126F8">
        <w:rPr>
          <w:rFonts w:cs="Times New Roman"/>
          <w:spacing w:val="-3"/>
        </w:rPr>
        <w:t>PRESTACIÓN DEL SERVICIO DE ALQUILER DE MAQUINARIA PARA REALIZAR TRABAJOS DE APERTURAS DE CAMINOS, MEJORAMIENTO Y MANTENIMIENTO EN VARIAS VÍAS DE LOS 22 CANTONES DE LA PROVINCIA DE MANABÍ</w:t>
      </w:r>
    </w:p>
    <w:p w14:paraId="5DB325FB" w14:textId="77777777" w:rsidR="00F126F8" w:rsidRPr="00F126F8" w:rsidRDefault="00F126F8" w:rsidP="00F126F8">
      <w:pPr>
        <w:jc w:val="center"/>
        <w:rPr>
          <w:rFonts w:cs="Times New Roman"/>
          <w:b/>
          <w:bCs/>
        </w:rPr>
      </w:pPr>
    </w:p>
    <w:p w14:paraId="3E496A3E" w14:textId="77777777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center"/>
        <w:rPr>
          <w:rFonts w:cs="Times New Roman"/>
          <w:b/>
          <w:bCs/>
          <w:spacing w:val="-3"/>
        </w:rPr>
      </w:pPr>
      <w:r w:rsidRPr="00F126F8">
        <w:rPr>
          <w:rFonts w:cs="Times New Roman"/>
          <w:b/>
          <w:bCs/>
          <w:spacing w:val="-3"/>
        </w:rPr>
        <w:t>CONVOCATORIA</w:t>
      </w:r>
    </w:p>
    <w:p w14:paraId="217DAAC9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spacing w:val="-3"/>
        </w:rPr>
      </w:pPr>
    </w:p>
    <w:p w14:paraId="6D0DA7D3" w14:textId="0E8DF24F" w:rsidR="00111047" w:rsidRPr="00F126F8" w:rsidRDefault="00000000">
      <w:pPr>
        <w:ind w:right="-1"/>
        <w:jc w:val="both"/>
        <w:rPr>
          <w:rFonts w:cs="Times New Roman"/>
          <w:spacing w:val="-3"/>
        </w:rPr>
      </w:pPr>
      <w:r w:rsidRPr="00F126F8">
        <w:rPr>
          <w:rFonts w:cs="Times New Roman"/>
          <w:iCs/>
          <w:spacing w:val="-3"/>
        </w:rPr>
        <w:t>El Gobierno Autónomo Descentralizado Provincial de Manabí,</w:t>
      </w:r>
      <w:r w:rsidRPr="00F126F8">
        <w:rPr>
          <w:rFonts w:cs="Times New Roman"/>
          <w:spacing w:val="-3"/>
        </w:rPr>
        <w:t xml:space="preserve"> convoca a través </w:t>
      </w:r>
      <w:r w:rsidRPr="00F126F8">
        <w:rPr>
          <w:rFonts w:cs="Times New Roman"/>
        </w:rPr>
        <w:t xml:space="preserve">del Portal Institucional de Servicio Nacional de Contratación Pública </w:t>
      </w:r>
      <w:hyperlink r:id="rId8" w:history="1">
        <w:r w:rsidR="00111047" w:rsidRPr="00F126F8">
          <w:rPr>
            <w:rStyle w:val="Hipervnculo"/>
            <w:rFonts w:cs="Times New Roman"/>
          </w:rPr>
          <w:t>www.sercop.gob.ec</w:t>
        </w:r>
      </w:hyperlink>
      <w:r w:rsidRPr="00F126F8">
        <w:rPr>
          <w:rFonts w:cs="Times New Roman"/>
        </w:rPr>
        <w:t xml:space="preserve"> y pagina web del Gobierno Autónomo Descentralizado Provincial de Manabí </w:t>
      </w:r>
      <w:hyperlink r:id="rId9" w:history="1">
        <w:r w:rsidR="00111047" w:rsidRPr="00F126F8">
          <w:rPr>
            <w:rStyle w:val="Hipervnculo"/>
            <w:rFonts w:cs="Times New Roman"/>
          </w:rPr>
          <w:t>https://www.manabi.gob.ec/</w:t>
        </w:r>
      </w:hyperlink>
      <w:r w:rsidRPr="00F126F8">
        <w:rPr>
          <w:rFonts w:cs="Times New Roman"/>
        </w:rPr>
        <w:t xml:space="preserve"> </w:t>
      </w:r>
      <w:r w:rsidRPr="00F126F8">
        <w:rPr>
          <w:rFonts w:cs="Times New Roman"/>
          <w:spacing w:val="-3"/>
        </w:rPr>
        <w:t xml:space="preserve">, </w:t>
      </w:r>
      <w:r w:rsidRPr="00F126F8">
        <w:rPr>
          <w:rFonts w:cs="Times New Roman"/>
          <w:b/>
          <w:bCs/>
          <w:i/>
          <w:iCs/>
          <w:spacing w:val="-3"/>
        </w:rPr>
        <w:t>según lo previsto por el artículo 224 Y 225 del Reglamento General de la Ley Orgánica del Sistema Nacional de Contratación Pública - RGLOSNCP</w:t>
      </w:r>
      <w:r w:rsidRPr="00F126F8">
        <w:rPr>
          <w:rFonts w:cs="Times New Roman"/>
          <w:spacing w:val="-3"/>
        </w:rPr>
        <w:t xml:space="preserve">, a todas </w:t>
      </w:r>
      <w:r w:rsidRPr="00F126F8">
        <w:rPr>
          <w:rFonts w:cs="Times New Roman"/>
        </w:rPr>
        <w:t xml:space="preserve">las personas naturales o jurídicas, ya sea de manera individual o a través de asociaciones o consorcios legalmente constituidos o compromiso de asociación o consorcios u Organizaciones de Integración Económica, cuando se trate del sector de la economía Popular y Solidaria – EPS; </w:t>
      </w:r>
      <w:r w:rsidRPr="00F126F8">
        <w:rPr>
          <w:rFonts w:cs="Times New Roman"/>
          <w:spacing w:val="-3"/>
        </w:rPr>
        <w:t xml:space="preserve">que estén domiciliadas en la </w:t>
      </w:r>
      <w:r w:rsidRPr="00F126F8">
        <w:rPr>
          <w:rFonts w:cs="Times New Roman"/>
          <w:b/>
          <w:spacing w:val="-3"/>
        </w:rPr>
        <w:t>Provincia de Manabí</w:t>
      </w:r>
      <w:r w:rsidRPr="00F126F8">
        <w:rPr>
          <w:rFonts w:cs="Times New Roman"/>
          <w:spacing w:val="-3"/>
          <w:lang w:eastAsia="zh-CN"/>
        </w:rPr>
        <w:t xml:space="preserve">, </w:t>
      </w:r>
      <w:r w:rsidRPr="00F126F8">
        <w:rPr>
          <w:rFonts w:cs="Times New Roman"/>
          <w:spacing w:val="-3"/>
        </w:rPr>
        <w:t xml:space="preserve">de conformidad al domicilio actualizado registrado en su Registro Único de Proveedores (RUP), el que deberá coincidir con el Registro Único de Contribuyentes (RUC), para la presentación de ofertas relacionadas con </w:t>
      </w:r>
      <w:r w:rsidR="003879B3">
        <w:rPr>
          <w:rFonts w:cs="Times New Roman"/>
          <w:spacing w:val="-3"/>
        </w:rPr>
        <w:t>la</w:t>
      </w:r>
      <w:r w:rsidRPr="00F126F8">
        <w:rPr>
          <w:rFonts w:cs="Times New Roman"/>
          <w:spacing w:val="-3"/>
        </w:rPr>
        <w:t xml:space="preserve"> </w:t>
      </w:r>
      <w:r w:rsidRPr="00F126F8">
        <w:rPr>
          <w:rFonts w:cs="Times New Roman"/>
          <w:b/>
          <w:spacing w:val="-3"/>
        </w:rPr>
        <w:t>“</w:t>
      </w:r>
      <w:r w:rsidR="00F126F8" w:rsidRPr="00F126F8">
        <w:rPr>
          <w:rFonts w:cs="Times New Roman"/>
          <w:b/>
          <w:spacing w:val="-3"/>
        </w:rPr>
        <w:t>PRESTACIÓN DEL SERVICIO DE ALQUILER DE MAQUINARIA PARA REALIZAR TRABAJOS DE APERTURAS DE CAMINOS, MEJORAMIENTO Y MANTENIMIENTO EN VARIAS VÍAS DE LOS 22 CANTONES DE LA PROVINCIA DE MANABÍ</w:t>
      </w:r>
      <w:r w:rsidRPr="00F126F8">
        <w:rPr>
          <w:rFonts w:cs="Times New Roman"/>
          <w:b/>
          <w:spacing w:val="-3"/>
        </w:rPr>
        <w:t>”</w:t>
      </w:r>
      <w:r w:rsidRPr="00F126F8">
        <w:rPr>
          <w:rFonts w:cs="Times New Roman"/>
          <w:spacing w:val="-3"/>
        </w:rPr>
        <w:t xml:space="preserve">, que estén habilitadas en el Registro Único de Proveedores RUP, siempre y cuando cumplan una de las siguientes condiciones de inclusión: </w:t>
      </w:r>
    </w:p>
    <w:p w14:paraId="3FEC3C71" w14:textId="77777777" w:rsidR="00111047" w:rsidRPr="00F126F8" w:rsidRDefault="00111047">
      <w:pPr>
        <w:widowControl/>
        <w:suppressAutoHyphens w:val="0"/>
        <w:autoSpaceDE w:val="0"/>
        <w:autoSpaceDN w:val="0"/>
        <w:adjustRightInd w:val="0"/>
        <w:ind w:right="-1"/>
        <w:rPr>
          <w:rFonts w:cs="Times New Roman"/>
          <w:spacing w:val="-3"/>
        </w:rPr>
      </w:pPr>
    </w:p>
    <w:p w14:paraId="64D79F61" w14:textId="77777777" w:rsidR="00111047" w:rsidRPr="00F126F8" w:rsidRDefault="00000000">
      <w:pPr>
        <w:widowControl/>
        <w:suppressAutoHyphens w:val="0"/>
        <w:autoSpaceDE w:val="0"/>
        <w:autoSpaceDN w:val="0"/>
        <w:adjustRightInd w:val="0"/>
        <w:rPr>
          <w:rFonts w:cs="Times New Roman"/>
          <w:spacing w:val="-3"/>
          <w:lang w:eastAsia="zh-CN"/>
        </w:rPr>
      </w:pPr>
      <w:r w:rsidRPr="00F126F8">
        <w:rPr>
          <w:rFonts w:cs="Times New Roman"/>
          <w:spacing w:val="-3"/>
          <w:lang w:eastAsia="zh-CN"/>
        </w:rPr>
        <w:t xml:space="preserve">1. Productores individuales; </w:t>
      </w:r>
    </w:p>
    <w:p w14:paraId="3F0A2E65" w14:textId="77777777" w:rsidR="00111047" w:rsidRPr="00F126F8" w:rsidRDefault="00000000">
      <w:pPr>
        <w:widowControl/>
        <w:suppressAutoHyphens w:val="0"/>
        <w:autoSpaceDE w:val="0"/>
        <w:autoSpaceDN w:val="0"/>
        <w:adjustRightInd w:val="0"/>
        <w:rPr>
          <w:rFonts w:cs="Times New Roman"/>
          <w:spacing w:val="-3"/>
          <w:lang w:eastAsia="zh-CN"/>
        </w:rPr>
      </w:pPr>
      <w:r w:rsidRPr="00F126F8">
        <w:rPr>
          <w:rFonts w:cs="Times New Roman"/>
          <w:spacing w:val="-3"/>
          <w:lang w:eastAsia="zh-CN"/>
        </w:rPr>
        <w:t xml:space="preserve">2. Organizaciones de economía popular y solidaria: sectores comunitarios, asociativos, cooperativos; </w:t>
      </w:r>
    </w:p>
    <w:p w14:paraId="04A2B096" w14:textId="77777777" w:rsidR="00111047" w:rsidRPr="00F126F8" w:rsidRDefault="00000000">
      <w:pPr>
        <w:widowControl/>
        <w:suppressAutoHyphens w:val="0"/>
        <w:autoSpaceDE w:val="0"/>
        <w:autoSpaceDN w:val="0"/>
        <w:adjustRightInd w:val="0"/>
        <w:rPr>
          <w:rFonts w:cs="Times New Roman"/>
          <w:spacing w:val="-3"/>
          <w:lang w:eastAsia="zh-CN"/>
        </w:rPr>
      </w:pPr>
      <w:r w:rsidRPr="00F126F8">
        <w:rPr>
          <w:rFonts w:cs="Times New Roman"/>
          <w:spacing w:val="-3"/>
          <w:lang w:eastAsia="zh-CN"/>
        </w:rPr>
        <w:t xml:space="preserve">3. Unidades económicas populares; </w:t>
      </w:r>
    </w:p>
    <w:p w14:paraId="705D2070" w14:textId="77777777" w:rsidR="00111047" w:rsidRPr="00F126F8" w:rsidRDefault="00000000">
      <w:pPr>
        <w:widowControl/>
        <w:suppressAutoHyphens w:val="0"/>
        <w:autoSpaceDE w:val="0"/>
        <w:autoSpaceDN w:val="0"/>
        <w:adjustRightInd w:val="0"/>
        <w:rPr>
          <w:rFonts w:cs="Times New Roman"/>
          <w:spacing w:val="-3"/>
          <w:lang w:eastAsia="zh-CN"/>
        </w:rPr>
      </w:pPr>
      <w:r w:rsidRPr="00F126F8">
        <w:rPr>
          <w:rFonts w:cs="Times New Roman"/>
          <w:spacing w:val="-3"/>
          <w:lang w:eastAsia="zh-CN"/>
        </w:rPr>
        <w:t>4. Agricultura familiar y campesina</w:t>
      </w:r>
    </w:p>
    <w:p w14:paraId="3FB26080" w14:textId="77777777" w:rsidR="00111047" w:rsidRPr="00F126F8" w:rsidRDefault="00000000">
      <w:pPr>
        <w:widowControl/>
        <w:suppressAutoHyphens w:val="0"/>
        <w:autoSpaceDE w:val="0"/>
        <w:autoSpaceDN w:val="0"/>
        <w:adjustRightInd w:val="0"/>
        <w:rPr>
          <w:rFonts w:cs="Times New Roman"/>
          <w:spacing w:val="-3"/>
          <w:lang w:eastAsia="zh-CN"/>
        </w:rPr>
      </w:pPr>
      <w:r w:rsidRPr="00F126F8">
        <w:rPr>
          <w:rFonts w:cs="Times New Roman"/>
          <w:spacing w:val="-3"/>
          <w:lang w:eastAsia="zh-CN"/>
        </w:rPr>
        <w:t>5. Actores artísticos y culturales</w:t>
      </w:r>
    </w:p>
    <w:p w14:paraId="392CD30F" w14:textId="77777777" w:rsidR="00111047" w:rsidRPr="00F126F8" w:rsidRDefault="00000000">
      <w:pPr>
        <w:widowControl/>
        <w:suppressAutoHyphens w:val="0"/>
        <w:autoSpaceDE w:val="0"/>
        <w:autoSpaceDN w:val="0"/>
        <w:adjustRightInd w:val="0"/>
        <w:rPr>
          <w:rFonts w:cs="Times New Roman"/>
          <w:spacing w:val="-3"/>
          <w:lang w:eastAsia="zh-CN"/>
        </w:rPr>
      </w:pPr>
      <w:r w:rsidRPr="00F126F8">
        <w:rPr>
          <w:rFonts w:cs="Times New Roman"/>
          <w:spacing w:val="-3"/>
          <w:lang w:eastAsia="zh-CN"/>
        </w:rPr>
        <w:t>6. Artesanos; y,</w:t>
      </w:r>
    </w:p>
    <w:p w14:paraId="07A9C802" w14:textId="77777777" w:rsidR="00111047" w:rsidRPr="00F126F8" w:rsidRDefault="00000000">
      <w:pPr>
        <w:widowControl/>
        <w:suppressAutoHyphens w:val="0"/>
        <w:autoSpaceDE w:val="0"/>
        <w:autoSpaceDN w:val="0"/>
        <w:adjustRightInd w:val="0"/>
        <w:rPr>
          <w:rFonts w:cs="Times New Roman"/>
          <w:spacing w:val="-3"/>
          <w:lang w:eastAsia="zh-CN"/>
        </w:rPr>
      </w:pPr>
      <w:r w:rsidRPr="00F126F8">
        <w:rPr>
          <w:rFonts w:cs="Times New Roman"/>
          <w:spacing w:val="-3"/>
          <w:lang w:eastAsia="zh-CN"/>
        </w:rPr>
        <w:t>7. Micro y pequeñas unidades productivas.</w:t>
      </w:r>
    </w:p>
    <w:p w14:paraId="176ABB3D" w14:textId="77777777" w:rsidR="00111047" w:rsidRPr="00F126F8" w:rsidRDefault="00111047">
      <w:pPr>
        <w:widowControl/>
        <w:suppressAutoHyphens w:val="0"/>
        <w:autoSpaceDE w:val="0"/>
        <w:autoSpaceDN w:val="0"/>
        <w:adjustRightInd w:val="0"/>
        <w:rPr>
          <w:rFonts w:eastAsia="SimSun" w:cs="Times New Roman"/>
          <w:kern w:val="0"/>
          <w:lang w:eastAsia="es-ES" w:bidi="ar-SA"/>
        </w:rPr>
      </w:pPr>
    </w:p>
    <w:p w14:paraId="749DC3B6" w14:textId="77777777" w:rsidR="00111047" w:rsidRPr="00F126F8" w:rsidRDefault="00000000">
      <w:pPr>
        <w:pStyle w:val="WW-Default"/>
        <w:ind w:right="-1"/>
        <w:jc w:val="both"/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</w:pPr>
      <w:r w:rsidRPr="00F126F8"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  <w:t xml:space="preserve">En el caso de personas jurídicas micro y pequeñas unidades productivas, los accionistas o socios de éstas también deberán cumplir con la condición de ser micro o pequeñas unidades productivas. </w:t>
      </w:r>
    </w:p>
    <w:p w14:paraId="636A11EE" w14:textId="77777777" w:rsidR="00111047" w:rsidRPr="00F126F8" w:rsidRDefault="00111047">
      <w:pPr>
        <w:pStyle w:val="WW-Default"/>
        <w:ind w:right="-1"/>
        <w:jc w:val="both"/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</w:pPr>
    </w:p>
    <w:p w14:paraId="773EB831" w14:textId="77777777" w:rsidR="00111047" w:rsidRPr="00F126F8" w:rsidRDefault="00000000">
      <w:pPr>
        <w:pStyle w:val="WW-Default"/>
        <w:ind w:right="-1"/>
        <w:jc w:val="both"/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</w:pPr>
      <w:r w:rsidRPr="00F126F8"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  <w:t xml:space="preserve">Los proveedores señalados en este artículo podrán presentar sus ofertas individualmente o asociados o consorciados u organismo de integración económico, cuando se trate del sector de la economía popular y solidaria, o con compromiso de asociación o consorcio. </w:t>
      </w:r>
    </w:p>
    <w:p w14:paraId="3C2D1CBF" w14:textId="77777777" w:rsidR="00111047" w:rsidRPr="00F126F8" w:rsidRDefault="00111047">
      <w:pPr>
        <w:pStyle w:val="WW-Default"/>
        <w:ind w:right="-1"/>
        <w:jc w:val="both"/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</w:pPr>
    </w:p>
    <w:p w14:paraId="29B4A96C" w14:textId="77777777" w:rsidR="00111047" w:rsidRPr="00F126F8" w:rsidRDefault="00000000">
      <w:pPr>
        <w:pStyle w:val="WW-Default"/>
        <w:ind w:right="-1"/>
        <w:jc w:val="both"/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</w:pPr>
      <w:r w:rsidRPr="00F126F8"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  <w:lastRenderedPageBreak/>
        <w:t xml:space="preserve">Los proveedores que participen en las ferias inclusivas, obligatoriamente deberán ser productores de todos los bienes o servicios que compongan el objeto contractual. No se utilizará a la feria inclusiva como un mecanismo de intermediación o evasión de procedimientos. </w:t>
      </w:r>
    </w:p>
    <w:p w14:paraId="12D46C81" w14:textId="77777777" w:rsidR="00111047" w:rsidRPr="00F126F8" w:rsidRDefault="00111047">
      <w:pPr>
        <w:pStyle w:val="WW-Default"/>
        <w:ind w:right="-1"/>
        <w:jc w:val="both"/>
        <w:rPr>
          <w:rFonts w:ascii="Times New Roman" w:eastAsia="Lucida Sans Unicode" w:hAnsi="Times New Roman" w:cs="Times New Roman"/>
          <w:color w:val="auto"/>
          <w:spacing w:val="-3"/>
          <w:kern w:val="1"/>
          <w:lang w:eastAsia="es-ES" w:bidi="hi-IN"/>
        </w:rPr>
      </w:pPr>
    </w:p>
    <w:p w14:paraId="7A534349" w14:textId="3EF71DBA" w:rsidR="00111047" w:rsidRPr="00F126F8" w:rsidRDefault="00000000" w:rsidP="00F126F8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</w:rPr>
      </w:pPr>
      <w:r w:rsidRPr="00F126F8">
        <w:rPr>
          <w:rFonts w:cs="Times New Roman"/>
          <w:b/>
          <w:spacing w:val="-3"/>
        </w:rPr>
        <w:t xml:space="preserve">Presupuesto Referencial y Certificación de Partida Presupuestaria: </w:t>
      </w:r>
      <w:r w:rsidRPr="00F126F8">
        <w:rPr>
          <w:rFonts w:cs="Times New Roman"/>
          <w:spacing w:val="-3"/>
        </w:rPr>
        <w:t>El Presupuesto Referencial se compone de la siguiente manera</w:t>
      </w:r>
      <w:bookmarkStart w:id="0" w:name="_Hlk35507147"/>
      <w:r w:rsidRPr="00F126F8">
        <w:rPr>
          <w:rFonts w:cs="Times New Roman"/>
        </w:rPr>
        <w:t xml:space="preserve"> </w:t>
      </w:r>
      <w:bookmarkEnd w:id="0"/>
      <w:r w:rsidRPr="00F126F8">
        <w:rPr>
          <w:rFonts w:cs="Times New Roman"/>
          <w:spacing w:val="-3"/>
          <w:lang w:eastAsia="zh-CN"/>
        </w:rPr>
        <w:t xml:space="preserve">$ </w:t>
      </w:r>
      <w:r w:rsidR="00F126F8" w:rsidRPr="00F126F8">
        <w:rPr>
          <w:rFonts w:cs="Times New Roman"/>
          <w:spacing w:val="-3"/>
          <w:lang w:eastAsia="zh-CN"/>
        </w:rPr>
        <w:t>6</w:t>
      </w:r>
      <w:r w:rsidRPr="00F126F8">
        <w:rPr>
          <w:rFonts w:cs="Times New Roman"/>
          <w:spacing w:val="-3"/>
          <w:lang w:eastAsia="zh-CN"/>
        </w:rPr>
        <w:t>'0</w:t>
      </w:r>
      <w:r w:rsidR="00F126F8" w:rsidRPr="00F126F8">
        <w:rPr>
          <w:rFonts w:cs="Times New Roman"/>
          <w:spacing w:val="-3"/>
          <w:lang w:eastAsia="zh-CN"/>
        </w:rPr>
        <w:t>85</w:t>
      </w:r>
      <w:r w:rsidRPr="00F126F8">
        <w:rPr>
          <w:rFonts w:cs="Times New Roman"/>
          <w:spacing w:val="-3"/>
          <w:lang w:eastAsia="zh-CN"/>
        </w:rPr>
        <w:t>.</w:t>
      </w:r>
      <w:r w:rsidR="00F126F8" w:rsidRPr="00F126F8">
        <w:rPr>
          <w:rFonts w:cs="Times New Roman"/>
          <w:spacing w:val="-3"/>
          <w:lang w:eastAsia="zh-CN"/>
        </w:rPr>
        <w:t>906</w:t>
      </w:r>
      <w:r w:rsidRPr="00F126F8">
        <w:rPr>
          <w:rFonts w:cs="Times New Roman"/>
          <w:spacing w:val="-3"/>
          <w:lang w:eastAsia="zh-CN"/>
        </w:rPr>
        <w:t>,2</w:t>
      </w:r>
      <w:r w:rsidR="00F126F8" w:rsidRPr="00F126F8">
        <w:rPr>
          <w:rFonts w:cs="Times New Roman"/>
          <w:spacing w:val="-3"/>
          <w:lang w:eastAsia="zh-CN"/>
        </w:rPr>
        <w:t>7</w:t>
      </w:r>
      <w:r w:rsidRPr="00F126F8">
        <w:rPr>
          <w:rFonts w:cs="Times New Roman"/>
          <w:spacing w:val="-3"/>
          <w:lang w:eastAsia="zh-CN"/>
        </w:rPr>
        <w:t xml:space="preserve"> (</w:t>
      </w:r>
      <w:r w:rsidR="00F126F8" w:rsidRPr="00F126F8">
        <w:rPr>
          <w:rFonts w:cs="Times New Roman"/>
          <w:spacing w:val="-3"/>
          <w:lang w:eastAsia="zh-CN"/>
        </w:rPr>
        <w:t xml:space="preserve">seis millones ochenta y cinco mil novecientos seis </w:t>
      </w:r>
      <w:r w:rsidRPr="00F126F8">
        <w:rPr>
          <w:rFonts w:cs="Times New Roman"/>
          <w:spacing w:val="-3"/>
          <w:lang w:eastAsia="zh-CN"/>
        </w:rPr>
        <w:t>con 2</w:t>
      </w:r>
      <w:r w:rsidR="00F126F8" w:rsidRPr="00F126F8">
        <w:rPr>
          <w:rFonts w:cs="Times New Roman"/>
          <w:spacing w:val="-3"/>
          <w:lang w:eastAsia="zh-CN"/>
        </w:rPr>
        <w:t>7</w:t>
      </w:r>
      <w:r w:rsidRPr="00F126F8">
        <w:rPr>
          <w:rFonts w:cs="Times New Roman"/>
          <w:spacing w:val="-3"/>
          <w:lang w:eastAsia="zh-CN"/>
        </w:rPr>
        <w:t>/100 centavos) DÓLARES DE LOS ESTADOS UNIDOS DE NORTEAMÉRICA</w:t>
      </w:r>
      <w:r w:rsidRPr="00F126F8">
        <w:rPr>
          <w:rFonts w:cs="Times New Roman"/>
          <w:spacing w:val="-3"/>
        </w:rPr>
        <w:t xml:space="preserve">, más </w:t>
      </w:r>
      <w:r w:rsidRPr="00F126F8">
        <w:rPr>
          <w:rFonts w:cs="Times New Roman"/>
          <w:b/>
          <w:spacing w:val="-3"/>
        </w:rPr>
        <w:t xml:space="preserve">IVA, </w:t>
      </w:r>
      <w:r w:rsidRPr="00F126F8">
        <w:rPr>
          <w:rFonts w:cs="Times New Roman"/>
          <w:bCs/>
          <w:spacing w:val="-3"/>
        </w:rPr>
        <w:t>con l</w:t>
      </w:r>
      <w:r w:rsidRPr="00F126F8">
        <w:rPr>
          <w:rFonts w:cs="Times New Roman"/>
          <w:spacing w:val="-3"/>
        </w:rPr>
        <w:t>as certificaciones de disponibilidad presupuestaria Nro. CERPLU-09</w:t>
      </w:r>
      <w:r w:rsidR="00F126F8" w:rsidRPr="00F126F8">
        <w:rPr>
          <w:rFonts w:cs="Times New Roman"/>
          <w:spacing w:val="-3"/>
        </w:rPr>
        <w:t>43</w:t>
      </w:r>
      <w:r w:rsidRPr="00F126F8">
        <w:rPr>
          <w:rFonts w:cs="Times New Roman"/>
          <w:spacing w:val="-3"/>
        </w:rPr>
        <w:t xml:space="preserve"> y CER-2025-1</w:t>
      </w:r>
      <w:r w:rsidR="00F126F8" w:rsidRPr="00F126F8">
        <w:rPr>
          <w:rFonts w:cs="Times New Roman"/>
          <w:spacing w:val="-3"/>
        </w:rPr>
        <w:t>301</w:t>
      </w:r>
      <w:r w:rsidRPr="00F126F8">
        <w:rPr>
          <w:rFonts w:cs="Times New Roman"/>
          <w:spacing w:val="-3"/>
        </w:rPr>
        <w:t xml:space="preserve"> con número de partida presupuestaria</w:t>
      </w:r>
      <w:r w:rsidRPr="00F126F8">
        <w:rPr>
          <w:rFonts w:cs="Times New Roman"/>
        </w:rPr>
        <w:t xml:space="preserve"> </w:t>
      </w:r>
      <w:r w:rsidR="00F126F8" w:rsidRPr="00F126F8">
        <w:rPr>
          <w:rFonts w:cs="Times New Roman"/>
          <w:lang w:eastAsia="zh-CN"/>
        </w:rPr>
        <w:t xml:space="preserve">73.05.04.2025.2.D51.16.07.002.013.001 </w:t>
      </w:r>
      <w:r w:rsidRPr="00F126F8">
        <w:rPr>
          <w:rFonts w:cs="Times New Roman"/>
          <w:lang w:eastAsia="zh-CN"/>
        </w:rPr>
        <w:t xml:space="preserve">- </w:t>
      </w:r>
      <w:r w:rsidR="00F126F8" w:rsidRPr="00F126F8">
        <w:rPr>
          <w:rFonts w:cs="Times New Roman"/>
          <w:lang w:eastAsia="zh-CN"/>
        </w:rPr>
        <w:t>Maquinarias y Equipos (Arrendamiento)</w:t>
      </w:r>
      <w:r w:rsidRPr="00F126F8">
        <w:rPr>
          <w:rFonts w:cs="Times New Roman"/>
        </w:rPr>
        <w:t xml:space="preserve">, </w:t>
      </w:r>
      <w:r w:rsidRPr="00F126F8">
        <w:rPr>
          <w:rFonts w:cs="Times New Roman"/>
          <w:bCs/>
          <w:spacing w:val="-3"/>
        </w:rPr>
        <w:t>disponible para el</w:t>
      </w:r>
      <w:r w:rsidRPr="00F126F8">
        <w:rPr>
          <w:rFonts w:cs="Times New Roman"/>
          <w:b/>
          <w:spacing w:val="-3"/>
        </w:rPr>
        <w:t xml:space="preserve"> </w:t>
      </w:r>
      <w:r w:rsidRPr="00F126F8">
        <w:rPr>
          <w:rFonts w:cs="Times New Roman"/>
          <w:bCs/>
          <w:spacing w:val="-3"/>
        </w:rPr>
        <w:t>año</w:t>
      </w:r>
      <w:r w:rsidRPr="00F126F8">
        <w:rPr>
          <w:rFonts w:cs="Times New Roman"/>
          <w:b/>
          <w:spacing w:val="-3"/>
        </w:rPr>
        <w:t xml:space="preserve"> </w:t>
      </w:r>
      <w:r w:rsidRPr="00F126F8">
        <w:rPr>
          <w:rFonts w:cs="Times New Roman"/>
          <w:spacing w:val="-3"/>
        </w:rPr>
        <w:t>2025</w:t>
      </w:r>
      <w:r w:rsidR="00F126F8" w:rsidRPr="00F126F8">
        <w:rPr>
          <w:rFonts w:cs="Times New Roman"/>
          <w:spacing w:val="-3"/>
        </w:rPr>
        <w:t xml:space="preserve">, </w:t>
      </w:r>
      <w:r w:rsidRPr="00F126F8">
        <w:rPr>
          <w:rFonts w:cs="Times New Roman"/>
          <w:spacing w:val="-3"/>
        </w:rPr>
        <w:t>2026</w:t>
      </w:r>
      <w:r w:rsidR="00F126F8" w:rsidRPr="00F126F8">
        <w:rPr>
          <w:rFonts w:cs="Times New Roman"/>
          <w:spacing w:val="-3"/>
        </w:rPr>
        <w:t xml:space="preserve"> y 2027</w:t>
      </w:r>
      <w:r w:rsidRPr="00F126F8">
        <w:rPr>
          <w:rFonts w:cs="Times New Roman"/>
          <w:spacing w:val="-3"/>
        </w:rPr>
        <w:t>.</w:t>
      </w:r>
    </w:p>
    <w:p w14:paraId="67495116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spacing w:val="-3"/>
        </w:rPr>
      </w:pPr>
    </w:p>
    <w:p w14:paraId="02B8A5B8" w14:textId="2D685830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bCs/>
          <w:lang w:eastAsia="zh-CN"/>
        </w:rPr>
      </w:pPr>
      <w:r w:rsidRPr="00F126F8">
        <w:rPr>
          <w:rFonts w:cs="Times New Roman"/>
          <w:b/>
          <w:bCs/>
        </w:rPr>
        <w:t xml:space="preserve">Código </w:t>
      </w:r>
      <w:r w:rsidR="00F126F8" w:rsidRPr="00F126F8">
        <w:rPr>
          <w:rFonts w:cs="Times New Roman"/>
          <w:b/>
          <w:bCs/>
        </w:rPr>
        <w:t>CPC. -</w:t>
      </w:r>
      <w:r w:rsidRPr="00F126F8">
        <w:rPr>
          <w:rFonts w:cs="Times New Roman"/>
          <w:b/>
          <w:bCs/>
        </w:rPr>
        <w:t xml:space="preserve"> </w:t>
      </w:r>
      <w:r w:rsidRPr="00F126F8">
        <w:rPr>
          <w:rFonts w:cs="Times New Roman"/>
          <w:bCs/>
        </w:rPr>
        <w:t>Código de Clasificador Central del Producto a utilizar (nivel 9) No.</w:t>
      </w:r>
      <w:r w:rsidRPr="00F126F8">
        <w:rPr>
          <w:rFonts w:cs="Times New Roman"/>
        </w:rPr>
        <w:t xml:space="preserve"> </w:t>
      </w:r>
      <w:r w:rsidR="00F126F8" w:rsidRPr="00F126F8">
        <w:rPr>
          <w:rFonts w:cs="Times New Roman"/>
          <w:bCs/>
          <w:lang w:eastAsia="zh-CN"/>
        </w:rPr>
        <w:t>548000011</w:t>
      </w:r>
      <w:r w:rsidRPr="00F126F8">
        <w:rPr>
          <w:rFonts w:cs="Times New Roman"/>
          <w:bCs/>
          <w:lang w:eastAsia="zh-CN"/>
        </w:rPr>
        <w:t xml:space="preserve"> </w:t>
      </w:r>
      <w:r w:rsidR="00F126F8" w:rsidRPr="00F126F8">
        <w:rPr>
          <w:rFonts w:cs="Times New Roman"/>
          <w:bCs/>
          <w:lang w:eastAsia="zh-CN"/>
        </w:rPr>
        <w:t>SERVICIOS DE ALQUILER DE EQUIPO CON O SIN OPCION DE COMPRA DE EQUIPOS PARA LA CONSTRUCCION O DEMOLICION DE EDIFICIOS PARA TRABAJOS DE INGENIERIA CIVIL CON OPERARIOS Y SERVICIOS OPERATIVOS PROPORCIONADOS POR LOS MISMOS</w:t>
      </w:r>
    </w:p>
    <w:p w14:paraId="00BA2677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bCs/>
        </w:rPr>
      </w:pPr>
    </w:p>
    <w:p w14:paraId="00625391" w14:textId="0D75A5E2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iCs/>
          <w:lang w:eastAsia="zh-CN"/>
        </w:rPr>
      </w:pPr>
      <w:r w:rsidRPr="00F126F8">
        <w:rPr>
          <w:rFonts w:cs="Times New Roman"/>
          <w:b/>
          <w:iCs/>
        </w:rPr>
        <w:t>Plazo de ejecución:</w:t>
      </w:r>
      <w:r w:rsidRPr="00F126F8">
        <w:rPr>
          <w:rFonts w:cs="Times New Roman"/>
          <w:iCs/>
        </w:rPr>
        <w:t xml:space="preserve"> </w:t>
      </w:r>
      <w:r w:rsidRPr="00F126F8">
        <w:rPr>
          <w:rFonts w:cs="Times New Roman"/>
          <w:iCs/>
          <w:lang w:eastAsia="zh-CN"/>
        </w:rPr>
        <w:t xml:space="preserve">El plazo para la ejecución de los trabajos es de </w:t>
      </w:r>
      <w:r w:rsidR="00F126F8" w:rsidRPr="00F126F8">
        <w:rPr>
          <w:rFonts w:cs="Times New Roman"/>
          <w:iCs/>
          <w:lang w:eastAsia="zh-CN"/>
        </w:rPr>
        <w:t>500</w:t>
      </w:r>
      <w:r w:rsidRPr="00F126F8">
        <w:rPr>
          <w:rFonts w:cs="Times New Roman"/>
          <w:iCs/>
          <w:lang w:eastAsia="zh-CN"/>
        </w:rPr>
        <w:t xml:space="preserve"> días contados a partir del día siguiente </w:t>
      </w:r>
      <w:r w:rsidR="00F126F8" w:rsidRPr="00F126F8">
        <w:rPr>
          <w:rFonts w:cs="Times New Roman"/>
          <w:iCs/>
          <w:lang w:eastAsia="zh-CN"/>
        </w:rPr>
        <w:t>de la suscripción</w:t>
      </w:r>
      <w:r w:rsidRPr="00F126F8">
        <w:rPr>
          <w:rFonts w:cs="Times New Roman"/>
          <w:iCs/>
          <w:lang w:eastAsia="zh-CN"/>
        </w:rPr>
        <w:t xml:space="preserve"> contrato</w:t>
      </w:r>
    </w:p>
    <w:p w14:paraId="572C8BDA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b/>
          <w:bCs/>
          <w:spacing w:val="-3"/>
        </w:rPr>
      </w:pPr>
    </w:p>
    <w:p w14:paraId="62FE2163" w14:textId="77777777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b/>
          <w:bCs/>
          <w:spacing w:val="-3"/>
        </w:rPr>
      </w:pPr>
      <w:r w:rsidRPr="00F126F8">
        <w:rPr>
          <w:rFonts w:cs="Times New Roman"/>
          <w:b/>
          <w:bCs/>
          <w:spacing w:val="-3"/>
        </w:rPr>
        <w:t>Las condiciones de inclusión generales de esta convocatoria son las siguientes:</w:t>
      </w:r>
    </w:p>
    <w:p w14:paraId="4A53B725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spacing w:val="-3"/>
        </w:rPr>
      </w:pPr>
    </w:p>
    <w:p w14:paraId="08A5DAAA" w14:textId="77777777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spacing w:val="-3"/>
          <w:shd w:val="clear" w:color="auto" w:fill="FFFF00"/>
        </w:rPr>
      </w:pPr>
      <w:r w:rsidRPr="00F126F8">
        <w:rPr>
          <w:rFonts w:cs="Times New Roman"/>
          <w:spacing w:val="-3"/>
        </w:rPr>
        <w:t xml:space="preserve">1.- El pliego estará disponible, sin ningún costo, en el portal </w:t>
      </w:r>
      <w:r w:rsidRPr="00F126F8">
        <w:rPr>
          <w:rFonts w:cs="Times New Roman"/>
        </w:rPr>
        <w:t>www.sercop.gob.ec,</w:t>
      </w:r>
      <w:r w:rsidRPr="00F126F8">
        <w:rPr>
          <w:rFonts w:cs="Times New Roman"/>
          <w:spacing w:val="-3"/>
        </w:rPr>
        <w:t xml:space="preserve"> </w:t>
      </w:r>
    </w:p>
    <w:p w14:paraId="5DC26587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spacing w:val="-3"/>
          <w:shd w:val="clear" w:color="auto" w:fill="FFFFFF"/>
        </w:rPr>
      </w:pPr>
    </w:p>
    <w:p w14:paraId="05BDC79C" w14:textId="77777777" w:rsidR="00111047" w:rsidRPr="00F126F8" w:rsidRDefault="00000000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spacing w:val="-3"/>
          <w:shd w:val="clear" w:color="auto" w:fill="FFFFFF"/>
        </w:rPr>
      </w:pPr>
      <w:r w:rsidRPr="00F126F8">
        <w:rPr>
          <w:rFonts w:cs="Times New Roman"/>
          <w:spacing w:val="-3"/>
          <w:shd w:val="clear" w:color="auto" w:fill="FFFFFF"/>
        </w:rPr>
        <w:t xml:space="preserve">2.- El cronograma del presente procedimiento es el siguiente: </w:t>
      </w:r>
    </w:p>
    <w:p w14:paraId="5C9F5DCC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spacing w:val="-3"/>
          <w:shd w:val="clear" w:color="auto" w:fill="FFFFFF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50"/>
        <w:gridCol w:w="1530"/>
        <w:gridCol w:w="1134"/>
      </w:tblGrid>
      <w:tr w:rsidR="00111047" w:rsidRPr="00F126F8" w14:paraId="6E2A2214" w14:textId="77777777">
        <w:trPr>
          <w:trHeight w:val="2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E48CD" w14:textId="77777777" w:rsidR="00111047" w:rsidRPr="00F126F8" w:rsidRDefault="00000000">
            <w:pPr>
              <w:snapToGrid w:val="0"/>
              <w:ind w:right="-1"/>
              <w:jc w:val="center"/>
              <w:rPr>
                <w:rFonts w:cs="Times New Roman"/>
                <w:b/>
              </w:rPr>
            </w:pPr>
            <w:r w:rsidRPr="00F126F8">
              <w:rPr>
                <w:rFonts w:cs="Times New Roman"/>
                <w:b/>
              </w:rPr>
              <w:t>ETAPA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BDDAE" w14:textId="77777777" w:rsidR="00111047" w:rsidRPr="00F126F8" w:rsidRDefault="00000000">
            <w:pPr>
              <w:snapToGrid w:val="0"/>
              <w:ind w:right="-1"/>
              <w:jc w:val="center"/>
              <w:rPr>
                <w:rFonts w:cs="Times New Roman"/>
                <w:b/>
              </w:rPr>
            </w:pPr>
            <w:r w:rsidRPr="00F126F8">
              <w:rPr>
                <w:rFonts w:cs="Times New Roman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23B2" w14:textId="77777777" w:rsidR="00111047" w:rsidRPr="00F126F8" w:rsidRDefault="00000000">
            <w:pPr>
              <w:snapToGrid w:val="0"/>
              <w:ind w:right="-1"/>
              <w:jc w:val="center"/>
              <w:rPr>
                <w:rFonts w:cs="Times New Roman"/>
                <w:b/>
              </w:rPr>
            </w:pPr>
            <w:r w:rsidRPr="00F126F8">
              <w:rPr>
                <w:rFonts w:cs="Times New Roman"/>
                <w:b/>
              </w:rPr>
              <w:t>HORA</w:t>
            </w:r>
          </w:p>
        </w:tc>
      </w:tr>
      <w:tr w:rsidR="00111047" w:rsidRPr="00F126F8" w14:paraId="1E3B82F7" w14:textId="77777777">
        <w:trPr>
          <w:trHeight w:val="283"/>
        </w:trPr>
        <w:tc>
          <w:tcPr>
            <w:tcW w:w="6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3EDE" w14:textId="77777777" w:rsidR="00111047" w:rsidRPr="00F126F8" w:rsidRDefault="00000000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Publicación y Convocatoria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AB02D" w14:textId="0AB62050" w:rsidR="00111047" w:rsidRPr="00F126F8" w:rsidRDefault="003879B3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 w:rsidRPr="00F126F8">
              <w:rPr>
                <w:rFonts w:cs="Times New Roman"/>
                <w:sz w:val="22"/>
                <w:szCs w:val="22"/>
              </w:rPr>
              <w:t>/0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F126F8">
              <w:rPr>
                <w:rFonts w:cs="Times New Roman"/>
                <w:sz w:val="22"/>
                <w:szCs w:val="22"/>
              </w:rPr>
              <w:t>/2025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8CE9" w14:textId="4B570FB4" w:rsidR="00111047" w:rsidRPr="00F126F8" w:rsidRDefault="000B4E66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000000" w:rsidRPr="00F126F8">
              <w:rPr>
                <w:rFonts w:cs="Times New Roman"/>
                <w:sz w:val="22"/>
                <w:szCs w:val="22"/>
              </w:rPr>
              <w:t>H00</w:t>
            </w:r>
          </w:p>
        </w:tc>
      </w:tr>
      <w:tr w:rsidR="00111047" w:rsidRPr="00F126F8" w14:paraId="44FF7CB9" w14:textId="77777777">
        <w:trPr>
          <w:trHeight w:val="2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1BF9AC" w14:textId="77777777" w:rsidR="00111047" w:rsidRPr="00F126F8" w:rsidRDefault="00000000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Socialización y periodo de preguntas, respuestas y aclaraciones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463852" w14:textId="13752376" w:rsidR="00111047" w:rsidRPr="00F126F8" w:rsidRDefault="000B4E66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  <w:r w:rsidR="00000000" w:rsidRPr="00F126F8">
              <w:rPr>
                <w:rFonts w:cs="Times New Roman"/>
                <w:sz w:val="22"/>
                <w:szCs w:val="22"/>
              </w:rPr>
              <w:t>/0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="00000000" w:rsidRPr="00F126F8">
              <w:rPr>
                <w:rFonts w:cs="Times New Roman"/>
                <w:sz w:val="22"/>
                <w:szCs w:val="22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B4695" w14:textId="532BCCEF" w:rsidR="00111047" w:rsidRPr="00F126F8" w:rsidRDefault="000B4E66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="00000000" w:rsidRPr="00F126F8">
              <w:rPr>
                <w:rFonts w:cs="Times New Roman"/>
                <w:sz w:val="22"/>
                <w:szCs w:val="22"/>
              </w:rPr>
              <w:t>H00</w:t>
            </w:r>
          </w:p>
        </w:tc>
      </w:tr>
      <w:tr w:rsidR="00111047" w:rsidRPr="00F126F8" w14:paraId="3BC49B4C" w14:textId="77777777">
        <w:trPr>
          <w:trHeight w:val="283"/>
        </w:trPr>
        <w:tc>
          <w:tcPr>
            <w:tcW w:w="6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0A0B2" w14:textId="77777777" w:rsidR="00111047" w:rsidRPr="00F126F8" w:rsidRDefault="00000000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Fecha Límite de Adhesión a las especificaciones técnicas o términos de referencia y condiciones económicas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9E2F" w14:textId="4F86C314" w:rsidR="00111047" w:rsidRPr="00F126F8" w:rsidRDefault="000B4E66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</w:t>
            </w:r>
            <w:r w:rsidR="00000000" w:rsidRPr="00F126F8">
              <w:rPr>
                <w:rFonts w:cs="Times New Roman"/>
                <w:sz w:val="22"/>
                <w:szCs w:val="22"/>
              </w:rPr>
              <w:t>/0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="00000000" w:rsidRPr="00F126F8">
              <w:rPr>
                <w:rFonts w:cs="Times New Roman"/>
                <w:sz w:val="22"/>
                <w:szCs w:val="22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62E4" w14:textId="391067FA" w:rsidR="00111047" w:rsidRPr="00F126F8" w:rsidRDefault="00000000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1</w:t>
            </w:r>
            <w:r w:rsidR="000B4E66">
              <w:rPr>
                <w:rFonts w:cs="Times New Roman"/>
                <w:sz w:val="22"/>
                <w:szCs w:val="22"/>
              </w:rPr>
              <w:t>6</w:t>
            </w:r>
            <w:r w:rsidRPr="00F126F8">
              <w:rPr>
                <w:rFonts w:cs="Times New Roman"/>
                <w:sz w:val="22"/>
                <w:szCs w:val="22"/>
              </w:rPr>
              <w:t>H00</w:t>
            </w:r>
          </w:p>
        </w:tc>
      </w:tr>
      <w:tr w:rsidR="00111047" w:rsidRPr="00F126F8" w14:paraId="104AD52A" w14:textId="77777777">
        <w:trPr>
          <w:trHeight w:val="2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67D9E" w14:textId="77777777" w:rsidR="00111047" w:rsidRPr="00F126F8" w:rsidRDefault="00000000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Fecha Límite solicitar Convalidación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C30E" w14:textId="61C6D852" w:rsidR="00111047" w:rsidRPr="00F126F8" w:rsidRDefault="000B4E66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  <w:r w:rsidR="00000000" w:rsidRPr="00F126F8">
              <w:rPr>
                <w:rFonts w:cs="Times New Roman"/>
                <w:sz w:val="22"/>
                <w:szCs w:val="22"/>
              </w:rPr>
              <w:t>/0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="00000000" w:rsidRPr="00F126F8">
              <w:rPr>
                <w:rFonts w:cs="Times New Roman"/>
                <w:sz w:val="22"/>
                <w:szCs w:val="22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D3D1" w14:textId="6988FBBA" w:rsidR="00111047" w:rsidRPr="00F126F8" w:rsidRDefault="00000000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1</w:t>
            </w:r>
            <w:r w:rsidR="000B4E66">
              <w:rPr>
                <w:rFonts w:cs="Times New Roman"/>
                <w:sz w:val="22"/>
                <w:szCs w:val="22"/>
              </w:rPr>
              <w:t>6</w:t>
            </w:r>
            <w:r w:rsidRPr="00F126F8">
              <w:rPr>
                <w:rFonts w:cs="Times New Roman"/>
                <w:sz w:val="22"/>
                <w:szCs w:val="22"/>
              </w:rPr>
              <w:t>H00</w:t>
            </w:r>
          </w:p>
        </w:tc>
      </w:tr>
      <w:tr w:rsidR="00111047" w:rsidRPr="00F126F8" w14:paraId="76D22885" w14:textId="77777777">
        <w:trPr>
          <w:trHeight w:val="2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076BD" w14:textId="77777777" w:rsidR="00111047" w:rsidRPr="00F126F8" w:rsidRDefault="00000000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Fecha Límite respuesta Convalidación.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7F944" w14:textId="36EC3F20" w:rsidR="00111047" w:rsidRPr="00F126F8" w:rsidRDefault="000B4E66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  <w:r w:rsidR="00000000" w:rsidRPr="00F126F8">
              <w:rPr>
                <w:rFonts w:cs="Times New Roman"/>
                <w:sz w:val="22"/>
                <w:szCs w:val="22"/>
              </w:rPr>
              <w:t>/06/2025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7FEA" w14:textId="1B5EFF63" w:rsidR="00111047" w:rsidRPr="00F126F8" w:rsidRDefault="00000000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1</w:t>
            </w:r>
            <w:r w:rsidR="000B4E66">
              <w:rPr>
                <w:rFonts w:cs="Times New Roman"/>
                <w:sz w:val="22"/>
                <w:szCs w:val="22"/>
              </w:rPr>
              <w:t>6</w:t>
            </w:r>
            <w:r w:rsidRPr="00F126F8">
              <w:rPr>
                <w:rFonts w:cs="Times New Roman"/>
                <w:sz w:val="22"/>
                <w:szCs w:val="22"/>
              </w:rPr>
              <w:t>H00</w:t>
            </w:r>
          </w:p>
        </w:tc>
      </w:tr>
      <w:tr w:rsidR="00111047" w:rsidRPr="00F126F8" w14:paraId="4E45052F" w14:textId="77777777">
        <w:trPr>
          <w:trHeight w:val="2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96189" w14:textId="77777777" w:rsidR="00111047" w:rsidRPr="00F126F8" w:rsidRDefault="00000000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Fecha Límite de Verificación de cumplimientos de requisitos mínimos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C247" w14:textId="334D90D5" w:rsidR="00111047" w:rsidRPr="00F126F8" w:rsidRDefault="000B4E66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000000" w:rsidRPr="00F126F8">
              <w:rPr>
                <w:rFonts w:cs="Times New Roman"/>
                <w:sz w:val="22"/>
                <w:szCs w:val="22"/>
              </w:rPr>
              <w:t>/0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="00000000" w:rsidRPr="00F126F8">
              <w:rPr>
                <w:rFonts w:cs="Times New Roman"/>
                <w:sz w:val="22"/>
                <w:szCs w:val="22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DADC" w14:textId="18B34F34" w:rsidR="00111047" w:rsidRPr="00F126F8" w:rsidRDefault="00000000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1</w:t>
            </w:r>
            <w:r w:rsidR="000B4E66">
              <w:rPr>
                <w:rFonts w:cs="Times New Roman"/>
                <w:sz w:val="22"/>
                <w:szCs w:val="22"/>
              </w:rPr>
              <w:t>6</w:t>
            </w:r>
            <w:r w:rsidRPr="00F126F8">
              <w:rPr>
                <w:rFonts w:cs="Times New Roman"/>
                <w:sz w:val="22"/>
                <w:szCs w:val="22"/>
              </w:rPr>
              <w:t>H00</w:t>
            </w:r>
          </w:p>
        </w:tc>
      </w:tr>
      <w:tr w:rsidR="00111047" w:rsidRPr="00F126F8" w14:paraId="6AFFD1E8" w14:textId="77777777">
        <w:trPr>
          <w:trHeight w:val="28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BF0E" w14:textId="77777777" w:rsidR="00111047" w:rsidRPr="00F126F8" w:rsidRDefault="00000000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Fecha límite para adjudicación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53E8" w14:textId="6A4CE261" w:rsidR="00111047" w:rsidRPr="00F126F8" w:rsidRDefault="000B4E66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  <w:r w:rsidR="00000000" w:rsidRPr="00F126F8">
              <w:rPr>
                <w:rFonts w:cs="Times New Roman"/>
                <w:sz w:val="22"/>
                <w:szCs w:val="22"/>
              </w:rPr>
              <w:t>/0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="00000000" w:rsidRPr="00F126F8">
              <w:rPr>
                <w:rFonts w:cs="Times New Roman"/>
                <w:sz w:val="22"/>
                <w:szCs w:val="22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9A43" w14:textId="77777777" w:rsidR="00111047" w:rsidRPr="00F126F8" w:rsidRDefault="00000000">
            <w:pPr>
              <w:snapToGrid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F126F8">
              <w:rPr>
                <w:rFonts w:cs="Times New Roman"/>
                <w:sz w:val="22"/>
                <w:szCs w:val="22"/>
              </w:rPr>
              <w:t>16H00</w:t>
            </w:r>
          </w:p>
        </w:tc>
      </w:tr>
    </w:tbl>
    <w:p w14:paraId="73249BC0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spacing w:val="-3"/>
        </w:rPr>
      </w:pPr>
    </w:p>
    <w:p w14:paraId="5E78194C" w14:textId="77777777" w:rsidR="00111047" w:rsidRPr="00F126F8" w:rsidRDefault="00000000">
      <w:pPr>
        <w:suppressAutoHyphens w:val="0"/>
        <w:snapToGrid w:val="0"/>
        <w:spacing w:line="276" w:lineRule="auto"/>
        <w:ind w:right="-1"/>
        <w:jc w:val="both"/>
        <w:rPr>
          <w:rFonts w:cs="Times New Roman"/>
          <w:b/>
          <w:bCs/>
          <w:spacing w:val="-3"/>
          <w:kern w:val="2"/>
          <w:u w:val="single"/>
        </w:rPr>
      </w:pPr>
      <w:r w:rsidRPr="00F126F8">
        <w:rPr>
          <w:rFonts w:cs="Times New Roman"/>
          <w:b/>
          <w:bCs/>
          <w:spacing w:val="-3"/>
          <w:u w:val="single"/>
        </w:rPr>
        <w:t xml:space="preserve">Lugar de Socialización </w:t>
      </w:r>
      <w:r w:rsidRPr="00F126F8">
        <w:rPr>
          <w:rFonts w:cs="Times New Roman"/>
          <w:b/>
          <w:u w:val="single"/>
        </w:rPr>
        <w:t>y periodo de preguntas, respuestas y aclaraciones</w:t>
      </w:r>
      <w:r w:rsidRPr="00F126F8">
        <w:rPr>
          <w:rFonts w:cs="Times New Roman"/>
          <w:b/>
          <w:bCs/>
          <w:spacing w:val="-3"/>
          <w:u w:val="single"/>
        </w:rPr>
        <w:t>:</w:t>
      </w:r>
    </w:p>
    <w:p w14:paraId="406F5EE3" w14:textId="77777777" w:rsidR="00111047" w:rsidRPr="00F126F8" w:rsidRDefault="00111047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iCs/>
        </w:rPr>
      </w:pPr>
    </w:p>
    <w:p w14:paraId="0B9801FC" w14:textId="4678CC00" w:rsidR="00111047" w:rsidRPr="00F126F8" w:rsidRDefault="00000000">
      <w:pPr>
        <w:suppressAutoHyphens w:val="0"/>
        <w:snapToGrid w:val="0"/>
        <w:spacing w:line="276" w:lineRule="auto"/>
        <w:ind w:right="-1"/>
        <w:jc w:val="both"/>
        <w:rPr>
          <w:rFonts w:cs="Times New Roman"/>
          <w:bCs/>
          <w:spacing w:val="-3"/>
        </w:rPr>
      </w:pPr>
      <w:r w:rsidRPr="00F126F8">
        <w:rPr>
          <w:rFonts w:cs="Times New Roman"/>
          <w:bCs/>
          <w:spacing w:val="-3"/>
        </w:rPr>
        <w:t xml:space="preserve">Para la socialización de preguntas, respuestas y aclaraciones, los oferentes podrán enviar previamente sus preguntas al correo </w:t>
      </w:r>
      <w:hyperlink r:id="rId10" w:history="1">
        <w:r w:rsidR="00F126F8" w:rsidRPr="00DF3867">
          <w:rPr>
            <w:rStyle w:val="Hipervnculo"/>
            <w:rFonts w:cs="Times New Roman"/>
            <w:bCs/>
            <w:spacing w:val="-3"/>
          </w:rPr>
          <w:t>kpachecom@manabi.gob.ec</w:t>
        </w:r>
      </w:hyperlink>
      <w:r w:rsidRPr="00F126F8">
        <w:rPr>
          <w:rFonts w:cs="Times New Roman"/>
          <w:bCs/>
          <w:spacing w:val="-3"/>
        </w:rPr>
        <w:t xml:space="preserve"> hasta máximo las 1</w:t>
      </w:r>
      <w:r w:rsidR="000B4E66">
        <w:rPr>
          <w:rFonts w:cs="Times New Roman"/>
          <w:bCs/>
          <w:spacing w:val="-3"/>
        </w:rPr>
        <w:t>6</w:t>
      </w:r>
      <w:r w:rsidRPr="00F126F8">
        <w:rPr>
          <w:rFonts w:cs="Times New Roman"/>
          <w:bCs/>
          <w:spacing w:val="-3"/>
        </w:rPr>
        <w:t xml:space="preserve">H00 del día </w:t>
      </w:r>
      <w:r w:rsidR="000B4E66">
        <w:rPr>
          <w:rFonts w:cs="Times New Roman"/>
          <w:bCs/>
          <w:spacing w:val="-3"/>
        </w:rPr>
        <w:t>25</w:t>
      </w:r>
      <w:r w:rsidRPr="00F126F8">
        <w:rPr>
          <w:rFonts w:cs="Times New Roman"/>
          <w:bCs/>
          <w:spacing w:val="-3"/>
        </w:rPr>
        <w:t xml:space="preserve"> de </w:t>
      </w:r>
      <w:r w:rsidR="000B4E66">
        <w:rPr>
          <w:rFonts w:cs="Times New Roman"/>
          <w:bCs/>
          <w:spacing w:val="-3"/>
        </w:rPr>
        <w:t>julio</w:t>
      </w:r>
      <w:r w:rsidRPr="00F126F8">
        <w:rPr>
          <w:rFonts w:cs="Times New Roman"/>
          <w:bCs/>
          <w:spacing w:val="-3"/>
        </w:rPr>
        <w:t xml:space="preserve"> del 2025, mismas que serán respondidas hasta las </w:t>
      </w:r>
      <w:r w:rsidR="000B4E66">
        <w:rPr>
          <w:rFonts w:cs="Times New Roman"/>
          <w:bCs/>
          <w:spacing w:val="-3"/>
        </w:rPr>
        <w:t>16</w:t>
      </w:r>
      <w:r w:rsidRPr="00F126F8">
        <w:rPr>
          <w:rFonts w:cs="Times New Roman"/>
          <w:bCs/>
          <w:spacing w:val="-3"/>
        </w:rPr>
        <w:t xml:space="preserve">H00 del </w:t>
      </w:r>
      <w:r w:rsidR="000B4E66">
        <w:rPr>
          <w:rFonts w:cs="Times New Roman"/>
          <w:bCs/>
          <w:spacing w:val="-3"/>
        </w:rPr>
        <w:t>29</w:t>
      </w:r>
      <w:r w:rsidRPr="00F126F8">
        <w:rPr>
          <w:rFonts w:cs="Times New Roman"/>
          <w:bCs/>
          <w:spacing w:val="-3"/>
        </w:rPr>
        <w:t xml:space="preserve"> de ju</w:t>
      </w:r>
      <w:r w:rsidR="000B4E66">
        <w:rPr>
          <w:rFonts w:cs="Times New Roman"/>
          <w:bCs/>
          <w:spacing w:val="-3"/>
        </w:rPr>
        <w:t>l</w:t>
      </w:r>
      <w:r w:rsidRPr="00F126F8">
        <w:rPr>
          <w:rFonts w:cs="Times New Roman"/>
          <w:bCs/>
          <w:spacing w:val="-3"/>
        </w:rPr>
        <w:t>io del 2025.</w:t>
      </w:r>
    </w:p>
    <w:p w14:paraId="6190DA04" w14:textId="77777777" w:rsidR="00111047" w:rsidRPr="00F126F8" w:rsidRDefault="00111047">
      <w:pPr>
        <w:suppressAutoHyphens w:val="0"/>
        <w:snapToGrid w:val="0"/>
        <w:spacing w:line="276" w:lineRule="auto"/>
        <w:ind w:right="-1"/>
        <w:jc w:val="both"/>
        <w:rPr>
          <w:rFonts w:cs="Times New Roman"/>
          <w:bCs/>
          <w:spacing w:val="-3"/>
        </w:rPr>
      </w:pPr>
    </w:p>
    <w:p w14:paraId="0D08B182" w14:textId="75D116A4" w:rsidR="00111047" w:rsidRDefault="00000000">
      <w:pPr>
        <w:tabs>
          <w:tab w:val="left" w:pos="-720"/>
        </w:tabs>
        <w:suppressAutoHyphens w:val="0"/>
        <w:snapToGrid w:val="0"/>
        <w:ind w:right="-1"/>
        <w:jc w:val="both"/>
        <w:rPr>
          <w:rFonts w:cs="Times New Roman"/>
          <w:iCs/>
          <w:lang w:val="es-MX" w:eastAsia="es-ES"/>
        </w:rPr>
      </w:pPr>
      <w:r w:rsidRPr="00F126F8">
        <w:rPr>
          <w:rFonts w:cs="Times New Roman"/>
          <w:spacing w:val="-3"/>
          <w:shd w:val="clear" w:color="auto" w:fill="FFFFFF"/>
        </w:rPr>
        <w:t xml:space="preserve">El </w:t>
      </w:r>
      <w:r w:rsidRPr="00F126F8">
        <w:rPr>
          <w:rFonts w:cs="Times New Roman"/>
          <w:spacing w:val="-3"/>
          <w:shd w:val="clear" w:color="auto" w:fill="FFFFFF"/>
          <w:lang w:eastAsia="zh-CN"/>
        </w:rPr>
        <w:t xml:space="preserve">Gobierno Autónomo Descentralizado Provincial de Manabí, </w:t>
      </w:r>
      <w:r w:rsidRPr="00F126F8">
        <w:rPr>
          <w:rFonts w:cs="Times New Roman"/>
          <w:spacing w:val="-3"/>
          <w:shd w:val="clear" w:color="auto" w:fill="FFFFFF"/>
        </w:rPr>
        <w:t xml:space="preserve">también </w:t>
      </w:r>
      <w:r w:rsidRPr="00F126F8">
        <w:rPr>
          <w:rFonts w:cs="Times New Roman"/>
          <w:b/>
          <w:bCs/>
          <w:spacing w:val="-3"/>
          <w:u w:val="single"/>
          <w:shd w:val="clear" w:color="auto" w:fill="FFFFFF"/>
        </w:rPr>
        <w:t xml:space="preserve">realizará una </w:t>
      </w:r>
      <w:r w:rsidRPr="00F126F8">
        <w:rPr>
          <w:rFonts w:cs="Times New Roman"/>
          <w:b/>
          <w:bCs/>
          <w:spacing w:val="-3"/>
          <w:u w:val="single"/>
          <w:shd w:val="clear" w:color="auto" w:fill="FFFFFF"/>
        </w:rPr>
        <w:lastRenderedPageBreak/>
        <w:t xml:space="preserve">reunión presencial en el salón de actos del Gobierno Provincial de Manabí (2do piso), ubicado en Portoviejo, en las oficinas de la calle Córdoba, entre Olmedo y Ricaurte, el </w:t>
      </w:r>
      <w:r w:rsidR="000B4E66">
        <w:rPr>
          <w:rFonts w:cs="Times New Roman"/>
          <w:b/>
          <w:bCs/>
          <w:spacing w:val="-3"/>
          <w:u w:val="single"/>
          <w:shd w:val="clear" w:color="auto" w:fill="FFFFFF"/>
        </w:rPr>
        <w:t>28</w:t>
      </w:r>
      <w:r w:rsidRPr="00F126F8">
        <w:rPr>
          <w:rFonts w:cs="Times New Roman"/>
          <w:b/>
          <w:bCs/>
          <w:spacing w:val="-3"/>
          <w:u w:val="single"/>
          <w:shd w:val="clear" w:color="auto" w:fill="FFFFFF"/>
        </w:rPr>
        <w:t xml:space="preserve"> de ju</w:t>
      </w:r>
      <w:r w:rsidR="000B4E66">
        <w:rPr>
          <w:rFonts w:cs="Times New Roman"/>
          <w:b/>
          <w:bCs/>
          <w:spacing w:val="-3"/>
          <w:u w:val="single"/>
          <w:shd w:val="clear" w:color="auto" w:fill="FFFFFF"/>
        </w:rPr>
        <w:t>l</w:t>
      </w:r>
      <w:r w:rsidRPr="00F126F8">
        <w:rPr>
          <w:rFonts w:cs="Times New Roman"/>
          <w:b/>
          <w:bCs/>
          <w:spacing w:val="-3"/>
          <w:u w:val="single"/>
          <w:shd w:val="clear" w:color="auto" w:fill="FFFFFF"/>
        </w:rPr>
        <w:t>io del 2025 a las 10H00.</w:t>
      </w:r>
    </w:p>
    <w:sectPr w:rsidR="00111047">
      <w:headerReference w:type="default" r:id="rId11"/>
      <w:footerReference w:type="default" r:id="rId12"/>
      <w:pgSz w:w="11906" w:h="16838"/>
      <w:pgMar w:top="1723" w:right="1800" w:bottom="183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02BB" w14:textId="77777777" w:rsidR="00A40DFF" w:rsidRPr="00F126F8" w:rsidRDefault="00A40DFF">
      <w:r w:rsidRPr="00F126F8">
        <w:separator/>
      </w:r>
    </w:p>
  </w:endnote>
  <w:endnote w:type="continuationSeparator" w:id="0">
    <w:p w14:paraId="7FB49521" w14:textId="77777777" w:rsidR="00A40DFF" w:rsidRPr="00F126F8" w:rsidRDefault="00A40DFF">
      <w:r w:rsidRPr="00F126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altName w:val="PMingLiU-ExtB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6487" w14:textId="244D4A24" w:rsidR="00111047" w:rsidRPr="00AC228D" w:rsidRDefault="00AC228D" w:rsidP="00AC228D">
    <w:pPr>
      <w:pStyle w:val="Textoindependiente"/>
      <w:spacing w:line="14" w:lineRule="auto"/>
      <w:rPr>
        <w:sz w:val="20"/>
      </w:rPr>
    </w:pPr>
    <w:r w:rsidRPr="00B90145">
      <w:rPr>
        <w:noProof/>
      </w:rPr>
      <w:drawing>
        <wp:anchor distT="0" distB="0" distL="114300" distR="114300" simplePos="0" relativeHeight="251663360" behindDoc="1" locked="0" layoutInCell="1" allowOverlap="1" wp14:anchorId="4421F9E1" wp14:editId="01B27CC7">
          <wp:simplePos x="0" y="0"/>
          <wp:positionH relativeFrom="margin">
            <wp:align>center</wp:align>
          </wp:positionH>
          <wp:positionV relativeFrom="paragraph">
            <wp:posOffset>-358775</wp:posOffset>
          </wp:positionV>
          <wp:extent cx="7181850" cy="683957"/>
          <wp:effectExtent l="0" t="0" r="0" b="1905"/>
          <wp:wrapNone/>
          <wp:docPr id="2" name="Imagen 2" descr="papeleria GPM_Modo O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peleria GPM_Modo On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1850" cy="683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0606" w14:textId="77777777" w:rsidR="00A40DFF" w:rsidRPr="00F126F8" w:rsidRDefault="00A40DFF">
      <w:r w:rsidRPr="00F126F8">
        <w:separator/>
      </w:r>
    </w:p>
  </w:footnote>
  <w:footnote w:type="continuationSeparator" w:id="0">
    <w:p w14:paraId="16BFC633" w14:textId="77777777" w:rsidR="00A40DFF" w:rsidRPr="00F126F8" w:rsidRDefault="00A40DFF">
      <w:r w:rsidRPr="00F126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B3C2" w14:textId="77777777" w:rsidR="00111047" w:rsidRPr="00F126F8" w:rsidRDefault="00000000">
    <w:pPr>
      <w:pStyle w:val="Encabezado"/>
    </w:pPr>
    <w:r w:rsidRPr="00F126F8">
      <w:rPr>
        <w:noProof/>
        <w:lang w:eastAsia="es-EC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103394" wp14:editId="07977954">
              <wp:simplePos x="0" y="0"/>
              <wp:positionH relativeFrom="page">
                <wp:posOffset>2543175</wp:posOffset>
              </wp:positionH>
              <wp:positionV relativeFrom="page">
                <wp:posOffset>514985</wp:posOffset>
              </wp:positionV>
              <wp:extent cx="1355090" cy="570230"/>
              <wp:effectExtent l="0" t="0" r="0" b="0"/>
              <wp:wrapNone/>
              <wp:docPr id="1165" name="Textbox 1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570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F7AEAD" w14:textId="77777777" w:rsidR="00111047" w:rsidRPr="00F126F8" w:rsidRDefault="00000000">
                          <w:pPr>
                            <w:spacing w:line="256" w:lineRule="exact"/>
                            <w:ind w:left="2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F126F8">
                            <w:rPr>
                              <w:rFonts w:ascii="Arial" w:hAnsi="Arial" w:cs="Arial"/>
                              <w:color w:val="464743"/>
                              <w:szCs w:val="20"/>
                            </w:rPr>
                            <w:t>Dirección</w:t>
                          </w:r>
                          <w:r w:rsidRPr="00F126F8">
                            <w:rPr>
                              <w:rFonts w:ascii="Arial" w:hAnsi="Arial" w:cs="Arial"/>
                              <w:color w:val="464743"/>
                              <w:spacing w:val="-8"/>
                              <w:szCs w:val="20"/>
                            </w:rPr>
                            <w:t xml:space="preserve"> </w:t>
                          </w:r>
                          <w:r w:rsidRPr="00F126F8">
                            <w:rPr>
                              <w:rFonts w:ascii="Arial" w:hAnsi="Arial" w:cs="Arial"/>
                              <w:color w:val="464743"/>
                              <w:spacing w:val="-5"/>
                              <w:szCs w:val="20"/>
                            </w:rPr>
                            <w:t>de</w:t>
                          </w:r>
                        </w:p>
                        <w:p w14:paraId="71F4DAD1" w14:textId="77777777" w:rsidR="00111047" w:rsidRPr="00F126F8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8"/>
                              <w:szCs w:val="21"/>
                            </w:rPr>
                          </w:pPr>
                          <w:r w:rsidRPr="00F126F8">
                            <w:rPr>
                              <w:rFonts w:ascii="Arial" w:hAnsi="Arial" w:cs="Arial"/>
                              <w:b/>
                              <w:color w:val="464743"/>
                              <w:szCs w:val="20"/>
                            </w:rPr>
                            <w:t>Compras</w:t>
                          </w:r>
                          <w:r w:rsidRPr="00F126F8">
                            <w:rPr>
                              <w:rFonts w:ascii="Arial" w:hAnsi="Arial" w:cs="Arial"/>
                              <w:b/>
                              <w:color w:val="464743"/>
                              <w:spacing w:val="-8"/>
                              <w:szCs w:val="20"/>
                            </w:rPr>
                            <w:t xml:space="preserve"> </w:t>
                          </w:r>
                          <w:r w:rsidRPr="00F126F8">
                            <w:rPr>
                              <w:rFonts w:ascii="Arial" w:hAnsi="Arial" w:cs="Arial"/>
                              <w:b/>
                              <w:color w:val="464743"/>
                              <w:spacing w:val="-2"/>
                              <w:szCs w:val="20"/>
                            </w:rPr>
                            <w:t>Públicas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03394" id="_x0000_t202" coordsize="21600,21600" o:spt="202" path="m,l,21600r21600,l21600,xe">
              <v:stroke joinstyle="miter"/>
              <v:path gradientshapeok="t" o:connecttype="rect"/>
            </v:shapetype>
            <v:shape id="Textbox 1165" o:spid="_x0000_s1026" type="#_x0000_t202" style="position:absolute;margin-left:200.25pt;margin-top:40.55pt;width:106.7pt;height:4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" filled="f" stroked="f">
              <v:textbox inset="0,0,0,0">
                <w:txbxContent>
                  <w:p w14:paraId="0DF7AEAD" w14:textId="77777777" w:rsidR="00111047" w:rsidRPr="00F126F8" w:rsidRDefault="00000000">
                    <w:pPr>
                      <w:spacing w:line="256" w:lineRule="exact"/>
                      <w:ind w:left="20"/>
                      <w:rPr>
                        <w:rFonts w:ascii="Arial" w:hAnsi="Arial" w:cs="Arial"/>
                        <w:szCs w:val="20"/>
                      </w:rPr>
                    </w:pPr>
                    <w:r w:rsidRPr="00F126F8">
                      <w:rPr>
                        <w:rFonts w:ascii="Arial" w:hAnsi="Arial" w:cs="Arial"/>
                        <w:color w:val="464743"/>
                        <w:szCs w:val="20"/>
                      </w:rPr>
                      <w:t>Dirección</w:t>
                    </w:r>
                    <w:r w:rsidRPr="00F126F8">
                      <w:rPr>
                        <w:rFonts w:ascii="Arial" w:hAnsi="Arial" w:cs="Arial"/>
                        <w:color w:val="464743"/>
                        <w:spacing w:val="-8"/>
                        <w:szCs w:val="20"/>
                      </w:rPr>
                      <w:t xml:space="preserve"> </w:t>
                    </w:r>
                    <w:r w:rsidRPr="00F126F8">
                      <w:rPr>
                        <w:rFonts w:ascii="Arial" w:hAnsi="Arial" w:cs="Arial"/>
                        <w:color w:val="464743"/>
                        <w:spacing w:val="-5"/>
                        <w:szCs w:val="20"/>
                      </w:rPr>
                      <w:t>de</w:t>
                    </w:r>
                  </w:p>
                  <w:p w14:paraId="71F4DAD1" w14:textId="77777777" w:rsidR="00111047" w:rsidRPr="00F126F8" w:rsidRDefault="00000000">
                    <w:pPr>
                      <w:spacing w:before="12"/>
                      <w:ind w:left="20"/>
                      <w:rPr>
                        <w:b/>
                        <w:sz w:val="28"/>
                        <w:szCs w:val="21"/>
                      </w:rPr>
                    </w:pPr>
                    <w:r w:rsidRPr="00F126F8">
                      <w:rPr>
                        <w:rFonts w:ascii="Arial" w:hAnsi="Arial" w:cs="Arial"/>
                        <w:b/>
                        <w:color w:val="464743"/>
                        <w:szCs w:val="20"/>
                      </w:rPr>
                      <w:t>Compras</w:t>
                    </w:r>
                    <w:r w:rsidRPr="00F126F8">
                      <w:rPr>
                        <w:rFonts w:ascii="Arial" w:hAnsi="Arial" w:cs="Arial"/>
                        <w:b/>
                        <w:color w:val="464743"/>
                        <w:spacing w:val="-8"/>
                        <w:szCs w:val="20"/>
                      </w:rPr>
                      <w:t xml:space="preserve"> </w:t>
                    </w:r>
                    <w:r w:rsidRPr="00F126F8">
                      <w:rPr>
                        <w:rFonts w:ascii="Arial" w:hAnsi="Arial" w:cs="Arial"/>
                        <w:b/>
                        <w:color w:val="464743"/>
                        <w:spacing w:val="-2"/>
                        <w:szCs w:val="20"/>
                      </w:rPr>
                      <w:t>Públicas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126F8">
      <w:rPr>
        <w:noProof/>
        <w:sz w:val="20"/>
        <w:lang w:eastAsia="es-EC" w:bidi="ar-SA"/>
      </w:rPr>
      <w:drawing>
        <wp:anchor distT="0" distB="0" distL="114300" distR="114300" simplePos="0" relativeHeight="251661312" behindDoc="1" locked="0" layoutInCell="1" allowOverlap="1" wp14:anchorId="591646B5" wp14:editId="46A37AA0">
          <wp:simplePos x="0" y="0"/>
          <wp:positionH relativeFrom="column">
            <wp:posOffset>-495300</wp:posOffset>
          </wp:positionH>
          <wp:positionV relativeFrom="paragraph">
            <wp:posOffset>-170815</wp:posOffset>
          </wp:positionV>
          <wp:extent cx="1600200" cy="597535"/>
          <wp:effectExtent l="0" t="0" r="0" b="12065"/>
          <wp:wrapNone/>
          <wp:docPr id="3" name="Image 1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1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6F8">
      <w:rPr>
        <w:noProof/>
        <w:lang w:eastAsia="es-EC" w:bidi="ar-SA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08A4230C" wp14:editId="1BE12B73">
              <wp:simplePos x="0" y="0"/>
              <wp:positionH relativeFrom="page">
                <wp:posOffset>2400300</wp:posOffset>
              </wp:positionH>
              <wp:positionV relativeFrom="page">
                <wp:posOffset>381000</wp:posOffset>
              </wp:positionV>
              <wp:extent cx="28575" cy="542290"/>
              <wp:effectExtent l="0" t="0" r="9525" b="10160"/>
              <wp:wrapNone/>
              <wp:docPr id="1158" name="Group 1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75" cy="542290"/>
                        <a:chOff x="0" y="0"/>
                        <a:chExt cx="28575" cy="542290"/>
                      </a:xfrm>
                    </wpg:grpSpPr>
                    <wps:wsp>
                      <wps:cNvPr id="1159" name="Graphic 1159"/>
                      <wps:cNvSpPr/>
                      <wps:spPr>
                        <a:xfrm>
                          <a:off x="0" y="180759"/>
                          <a:ext cx="2857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80975">
                              <a:moveTo>
                                <a:pt x="28206" y="0"/>
                              </a:moveTo>
                              <a:lnTo>
                                <a:pt x="0" y="0"/>
                              </a:lnTo>
                              <a:lnTo>
                                <a:pt x="0" y="180759"/>
                              </a:lnTo>
                              <a:lnTo>
                                <a:pt x="28206" y="180759"/>
                              </a:lnTo>
                              <a:lnTo>
                                <a:pt x="28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8944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60" name="Graphic 1160"/>
                      <wps:cNvSpPr/>
                      <wps:spPr>
                        <a:xfrm>
                          <a:off x="0" y="0"/>
                          <a:ext cx="2857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80975">
                              <a:moveTo>
                                <a:pt x="28206" y="0"/>
                              </a:moveTo>
                              <a:lnTo>
                                <a:pt x="0" y="0"/>
                              </a:lnTo>
                              <a:lnTo>
                                <a:pt x="0" y="180759"/>
                              </a:lnTo>
                              <a:lnTo>
                                <a:pt x="28206" y="180759"/>
                              </a:lnTo>
                              <a:lnTo>
                                <a:pt x="28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4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61" name="Graphic 1161"/>
                      <wps:cNvSpPr/>
                      <wps:spPr>
                        <a:xfrm>
                          <a:off x="0" y="361505"/>
                          <a:ext cx="2857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80975">
                              <a:moveTo>
                                <a:pt x="28206" y="0"/>
                              </a:moveTo>
                              <a:lnTo>
                                <a:pt x="0" y="0"/>
                              </a:lnTo>
                              <a:lnTo>
                                <a:pt x="0" y="180759"/>
                              </a:lnTo>
                              <a:lnTo>
                                <a:pt x="28206" y="180759"/>
                              </a:lnTo>
                              <a:lnTo>
                                <a:pt x="28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202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DDD385" id="Group 1158" o:spid="_x0000_s1026" style="position:absolute;margin-left:189pt;margin-top:30pt;width:2.25pt;height:42.7pt;z-index:-251656192;mso-wrap-distance-left:0;mso-wrap-distance-right:0;mso-position-horizontal-relative:page;mso-position-vertical-relative:page" coordsize="285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">
              <v:shape id="Graphic 1159" o:spid="_x0000_s1027" style="position:absolute;top:1807;width:285;height:1810;visibility:visible;mso-wrap-style:square;v-text-anchor:top" coordsize="285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" path="m28206,l,,,180759r28206,l28206,xe" fillcolor="#048944" stroked="f">
                <v:path arrowok="t"/>
              </v:shape>
              <v:shape id="Graphic 1160" o:spid="_x0000_s1028" style="position:absolute;width:285;height:1809;visibility:visible;mso-wrap-style:square;v-text-anchor:top" coordsize="285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" path="m28206,l,,,180759r28206,l28206,xe" fillcolor="#006334" stroked="f">
                <v:path arrowok="t"/>
              </v:shape>
              <v:shape id="Graphic 1161" o:spid="_x0000_s1029" style="position:absolute;top:3615;width:285;height:1809;visibility:visible;mso-wrap-style:square;v-text-anchor:top" coordsize="285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" path="m28206,l,,,180759r28206,l28206,xe" fillcolor="#df2027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52497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E02566"/>
    <w:rsid w:val="000B4E66"/>
    <w:rsid w:val="00111047"/>
    <w:rsid w:val="002E0652"/>
    <w:rsid w:val="003879B3"/>
    <w:rsid w:val="00411AAE"/>
    <w:rsid w:val="0046624A"/>
    <w:rsid w:val="00494361"/>
    <w:rsid w:val="004C08E6"/>
    <w:rsid w:val="007253C3"/>
    <w:rsid w:val="007A5DCF"/>
    <w:rsid w:val="007B1125"/>
    <w:rsid w:val="007C398C"/>
    <w:rsid w:val="00866D27"/>
    <w:rsid w:val="009D4861"/>
    <w:rsid w:val="00A30EB5"/>
    <w:rsid w:val="00A40DFF"/>
    <w:rsid w:val="00AC228D"/>
    <w:rsid w:val="00AD23AF"/>
    <w:rsid w:val="00AF15E5"/>
    <w:rsid w:val="00E9448E"/>
    <w:rsid w:val="00F126F8"/>
    <w:rsid w:val="00F36001"/>
    <w:rsid w:val="01C86D4F"/>
    <w:rsid w:val="07BB069B"/>
    <w:rsid w:val="07EB7C7F"/>
    <w:rsid w:val="0C923E5C"/>
    <w:rsid w:val="0D5562DA"/>
    <w:rsid w:val="0D572CC6"/>
    <w:rsid w:val="0FA30FDA"/>
    <w:rsid w:val="11A1251F"/>
    <w:rsid w:val="17E36F39"/>
    <w:rsid w:val="18620CC7"/>
    <w:rsid w:val="1C460387"/>
    <w:rsid w:val="1DFC5030"/>
    <w:rsid w:val="251746FD"/>
    <w:rsid w:val="29376014"/>
    <w:rsid w:val="293B17B1"/>
    <w:rsid w:val="293F0830"/>
    <w:rsid w:val="2C483F5E"/>
    <w:rsid w:val="31962BB5"/>
    <w:rsid w:val="326116B8"/>
    <w:rsid w:val="342C54D5"/>
    <w:rsid w:val="38B53E12"/>
    <w:rsid w:val="392F3B6A"/>
    <w:rsid w:val="3AD3058D"/>
    <w:rsid w:val="3CB82E94"/>
    <w:rsid w:val="3CC26B29"/>
    <w:rsid w:val="3DE02566"/>
    <w:rsid w:val="3ECA475D"/>
    <w:rsid w:val="3EE75830"/>
    <w:rsid w:val="40CA164E"/>
    <w:rsid w:val="429F4ECC"/>
    <w:rsid w:val="45A37D4D"/>
    <w:rsid w:val="47F95BF5"/>
    <w:rsid w:val="4A552930"/>
    <w:rsid w:val="4CED00E0"/>
    <w:rsid w:val="4FDD20B3"/>
    <w:rsid w:val="52846137"/>
    <w:rsid w:val="52A00264"/>
    <w:rsid w:val="571E3687"/>
    <w:rsid w:val="5BB22854"/>
    <w:rsid w:val="5CA34467"/>
    <w:rsid w:val="62F05FB5"/>
    <w:rsid w:val="66504B3D"/>
    <w:rsid w:val="674811B7"/>
    <w:rsid w:val="6D017DA5"/>
    <w:rsid w:val="710F6EB6"/>
    <w:rsid w:val="739A2C71"/>
    <w:rsid w:val="77B8427F"/>
    <w:rsid w:val="7BEE4268"/>
    <w:rsid w:val="7E751215"/>
    <w:rsid w:val="7F3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7A189"/>
  <w15:docId w15:val="{6065CE0D-670D-49B5-AF04-B77543D6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8">
    <w:name w:val="heading 8"/>
    <w:basedOn w:val="Normal"/>
    <w:next w:val="Normal"/>
    <w:uiPriority w:val="9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Hipervnculo">
    <w:name w:val="Hyperlink"/>
    <w:uiPriority w:val="99"/>
    <w:qFormat/>
    <w:rPr>
      <w:color w:val="0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rFonts w:cs="Mangal"/>
      <w:sz w:val="20"/>
      <w:szCs w:val="18"/>
    </w:rPr>
  </w:style>
  <w:style w:type="paragraph" w:styleId="Textodeglobo">
    <w:name w:val="Balloon Text"/>
    <w:basedOn w:val="Normal"/>
    <w:link w:val="TextodegloboCar"/>
    <w:qFormat/>
    <w:rPr>
      <w:rFonts w:ascii="Segoe UI" w:hAnsi="Segoe UI" w:cs="Mangal"/>
      <w:sz w:val="18"/>
      <w:szCs w:val="16"/>
    </w:r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4">
    <w:name w:val="xl74"/>
    <w:basedOn w:val="Normal"/>
    <w:qFormat/>
    <w:pPr>
      <w:spacing w:before="280" w:after="280"/>
      <w:jc w:val="center"/>
    </w:pPr>
    <w:rPr>
      <w:rFonts w:ascii="Arial" w:eastAsia="Arial Unicode MS" w:hAnsi="Arial"/>
      <w:b/>
      <w:bCs/>
      <w:lang w:val="es-ES"/>
    </w:rPr>
  </w:style>
  <w:style w:type="paragraph" w:customStyle="1" w:styleId="Style2">
    <w:name w:val="Style 2"/>
    <w:basedOn w:val="Normal"/>
    <w:uiPriority w:val="99"/>
    <w:qFormat/>
    <w:pPr>
      <w:autoSpaceDE w:val="0"/>
      <w:ind w:left="288" w:right="72" w:hanging="288"/>
      <w:jc w:val="both"/>
    </w:pPr>
    <w:rPr>
      <w:lang w:val="en-US"/>
    </w:rPr>
  </w:style>
  <w:style w:type="paragraph" w:customStyle="1" w:styleId="toa">
    <w:name w:val="toa"/>
    <w:basedOn w:val="Normal"/>
    <w:uiPriority w:val="99"/>
    <w:qFormat/>
    <w:pPr>
      <w:tabs>
        <w:tab w:val="left" w:pos="9000"/>
        <w:tab w:val="right" w:pos="9360"/>
      </w:tabs>
      <w:overflowPunct w:val="0"/>
      <w:autoSpaceDE w:val="0"/>
      <w:textAlignment w:val="baseline"/>
    </w:pPr>
    <w:rPr>
      <w:rFonts w:ascii="Courier New" w:hAnsi="Courier New"/>
      <w:szCs w:val="20"/>
      <w:lang w:val="en-US"/>
    </w:rPr>
  </w:style>
  <w:style w:type="paragraph" w:customStyle="1" w:styleId="WW-Default">
    <w:name w:val="WW-Default"/>
    <w:qFormat/>
    <w:pPr>
      <w:widowControl w:val="0"/>
      <w:suppressAutoHyphens/>
      <w:autoSpaceDE w:val="0"/>
    </w:pPr>
    <w:rPr>
      <w:rFonts w:ascii="Bell MT" w:eastAsia="Times New Roman" w:hAnsi="Bell MT" w:cs="Bell MT"/>
      <w:color w:val="000000"/>
      <w:sz w:val="24"/>
      <w:szCs w:val="24"/>
      <w:lang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angra2detindependiente1">
    <w:name w:val="Sangría 2 de t. independiente1"/>
    <w:basedOn w:val="Normal"/>
    <w:qFormat/>
    <w:pPr>
      <w:spacing w:after="120" w:line="480" w:lineRule="auto"/>
      <w:ind w:left="283"/>
    </w:pPr>
    <w:rPr>
      <w:rFonts w:ascii="Courier New" w:eastAsia="Times New Roman" w:hAnsi="Courier New"/>
      <w:sz w:val="20"/>
      <w:szCs w:val="20"/>
      <w:lang w:val="es-ES"/>
    </w:rPr>
  </w:style>
  <w:style w:type="paragraph" w:customStyle="1" w:styleId="Standard">
    <w:name w:val="Standard"/>
    <w:qFormat/>
    <w:pPr>
      <w:autoSpaceDN w:val="0"/>
      <w:textAlignment w:val="baseline"/>
    </w:pPr>
    <w:rPr>
      <w:rFonts w:eastAsia="Times New Roman"/>
    </w:rPr>
  </w:style>
  <w:style w:type="paragraph" w:customStyle="1" w:styleId="xl25">
    <w:name w:val="xl25"/>
    <w:basedOn w:val="Normal"/>
    <w:qFormat/>
    <w:pPr>
      <w:shd w:val="clear" w:color="auto" w:fill="FFFFFF"/>
      <w:spacing w:before="280" w:after="280"/>
    </w:pPr>
    <w:rPr>
      <w:rFonts w:ascii="Arial" w:eastAsia="Arial Unicode MS" w:hAnsi="Arial"/>
      <w:b/>
      <w:bCs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eastAsia="Lucida Sans Unicode" w:cs="Mangal"/>
      <w:kern w:val="1"/>
      <w:szCs w:val="18"/>
      <w:lang w:eastAsia="hi-IN" w:bidi="hi-IN"/>
    </w:rPr>
  </w:style>
  <w:style w:type="character" w:customStyle="1" w:styleId="AsuntodelcomentarioCar">
    <w:name w:val="Asunto del comentario Car"/>
    <w:basedOn w:val="TextocomentarioCar"/>
    <w:link w:val="Asuntodelcomentario"/>
    <w:qFormat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TextodegloboCar">
    <w:name w:val="Texto de globo Car"/>
    <w:basedOn w:val="Fuentedeprrafopredeter"/>
    <w:link w:val="Textodeglobo"/>
    <w:qFormat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F1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p.gob.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pachecom@manabi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abi.gob.ec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WPS_1706887267</dc:creator>
  <cp:lastModifiedBy>Kelly Jacqueline Pacheco Mieles </cp:lastModifiedBy>
  <cp:revision>6</cp:revision>
  <dcterms:created xsi:type="dcterms:W3CDTF">2025-07-17T14:34:00Z</dcterms:created>
  <dcterms:modified xsi:type="dcterms:W3CDTF">2025-07-22T20:13:00Z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6A208673EEE64F568EC00762C0EF5B25_11</vt:lpwstr>
  </property>
</Properties>
</file>